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837B3">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b/>
          <w:bCs/>
          <w:color w:val="000000"/>
          <w:kern w:val="0"/>
          <w:sz w:val="24"/>
          <w:szCs w:val="24"/>
          <w:lang w:val="en-US" w:eastAsia="zh-CN" w:bidi="ar"/>
        </w:rPr>
        <w:t>TAXPAYER RED ALERT • URGENT PUBLIC NOTICE</w:t>
      </w:r>
      <w:r>
        <w:rPr>
          <w:rFonts w:hint="default" w:ascii="Times New Roman" w:hAnsi="Times New Roman" w:eastAsia="sans-serif" w:cs="Times New Roman"/>
          <w:b/>
          <w:bCs/>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JULY 13, 2026 REJECTION DEADLINE of $11.6 Million to buy 1.5 miles of Polluted Rail Road Corridor.</w:t>
      </w:r>
    </w:p>
    <w:p w14:paraId="58E0E359">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147B837B">
      <w:pPr>
        <w:keepNext w:val="0"/>
        <w:keepLines w:val="0"/>
        <w:widowControl/>
        <w:suppressLineNumbers w:val="0"/>
        <w:jc w:val="left"/>
        <w:rPr>
          <w:rFonts w:hint="default" w:ascii="Times New Roman" w:hAnsi="Times New Roman" w:eastAsia="sans-serif" w:cs="Times New Roman"/>
          <w:b/>
          <w:bCs/>
          <w:color w:val="000000"/>
          <w:kern w:val="0"/>
          <w:sz w:val="24"/>
          <w:szCs w:val="24"/>
          <w:lang w:val="en-US" w:eastAsia="zh-CN" w:bidi="ar"/>
        </w:rPr>
      </w:pPr>
      <w:r>
        <w:rPr>
          <w:rFonts w:hint="default" w:ascii="Times New Roman" w:hAnsi="Times New Roman" w:eastAsia="sans-serif" w:cs="Times New Roman"/>
          <w:b/>
          <w:bCs/>
          <w:color w:val="000000"/>
          <w:kern w:val="0"/>
          <w:sz w:val="24"/>
          <w:szCs w:val="24"/>
          <w:lang w:val="en-US" w:eastAsia="zh-CN" w:bidi="ar"/>
        </w:rPr>
        <w:t>Collier County Taxpayers pay  $11.6 Million in Polluted Railroad Dirt — Plus Another $10.3 Million in Hidden Cleanup and Construction Costs for 1.5 Miles of Polluted Dirt the Collier Property Appraiser values at $104,688</w:t>
      </w:r>
      <w:bookmarkStart w:id="0" w:name="_GoBack"/>
      <w:bookmarkEnd w:id="0"/>
    </w:p>
    <w:p w14:paraId="01A60BFA">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6C96404C">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color w:val="000000"/>
          <w:kern w:val="0"/>
          <w:sz w:val="24"/>
          <w:szCs w:val="24"/>
          <w:lang w:val="en-US" w:eastAsia="zh-CN" w:bidi="ar"/>
        </w:rPr>
        <w:t>Railroad Keeps Revenues, Cell Tower Leases, and Permanent Right to Reclaim the Land</w:t>
      </w:r>
    </w:p>
    <w:p w14:paraId="6B612C04">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4997C377">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color w:val="000000"/>
          <w:kern w:val="0"/>
          <w:sz w:val="24"/>
          <w:szCs w:val="24"/>
          <w:lang w:val="en-US" w:eastAsia="zh-CN" w:bidi="ar"/>
        </w:rPr>
        <w:t xml:space="preserve">NAPLES, FL — Local government watchdog </w:t>
      </w:r>
      <w:r>
        <w:rPr>
          <w:rFonts w:hint="default" w:ascii="Times New Roman" w:hAnsi="Times New Roman" w:eastAsia="sans-serif" w:cs="Times New Roman"/>
          <w:b/>
          <w:bCs/>
          <w:color w:val="000000"/>
          <w:kern w:val="0"/>
          <w:sz w:val="24"/>
          <w:szCs w:val="24"/>
          <w:lang w:val="en-US" w:eastAsia="zh-CN" w:bidi="ar"/>
        </w:rPr>
        <w:t>USATaxFighters.org</w:t>
      </w:r>
      <w:r>
        <w:rPr>
          <w:rFonts w:hint="default" w:ascii="Times New Roman" w:hAnsi="Times New Roman" w:eastAsia="sans-serif" w:cs="Times New Roman"/>
          <w:color w:val="000000"/>
          <w:kern w:val="0"/>
          <w:sz w:val="24"/>
          <w:szCs w:val="24"/>
          <w:lang w:val="en-US" w:eastAsia="zh-CN" w:bidi="ar"/>
        </w:rPr>
        <w:t xml:space="preserve"> today issued a Red Alert to Collier County taxpayers, exposing a costly fiscal trap embedded in the April 14, 2026, Purchase and Sale Agreement for a 1.5-mile (24.3-acre) segment of the discontinued Seminole Gulf Railway corridor.</w:t>
      </w:r>
    </w:p>
    <w:p w14:paraId="3AE0A4DC">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6BB583E5">
      <w:pPr>
        <w:keepNext w:val="0"/>
        <w:keepLines w:val="0"/>
        <w:widowControl/>
        <w:suppressLineNumbers w:val="0"/>
        <w:bidi w:val="0"/>
        <w:jc w:val="left"/>
        <w:textAlignment w:val="center"/>
        <w:rPr>
          <w:rFonts w:hint="default" w:ascii="Times New Roman" w:hAnsi="Times New Roman" w:eastAsia="sans-serif" w:cs="Times New Roman"/>
          <w:vanish/>
          <w:color w:val="000000"/>
        </w:rPr>
      </w:pPr>
      <w:r>
        <w:rPr>
          <w:rFonts w:hint="default" w:ascii="Times New Roman" w:hAnsi="Times New Roman" w:eastAsia="sans-serif" w:cs="Times New Roman"/>
          <w:vanish/>
          <w:color w:val="000000"/>
          <w:kern w:val="0"/>
          <w:sz w:val="24"/>
          <w:szCs w:val="24"/>
          <w:lang w:val="en-US" w:eastAsia="zh-CN" w:bidi="ar"/>
        </w:rPr>
        <w:t>collierclerk.com</w:t>
      </w:r>
    </w:p>
    <w:p w14:paraId="21106416">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color w:val="000000"/>
          <w:kern w:val="0"/>
          <w:sz w:val="24"/>
          <w:szCs w:val="24"/>
          <w:lang w:val="en-US" w:eastAsia="zh-CN" w:bidi="ar"/>
        </w:rPr>
        <w:t xml:space="preserve">The agreement commits </w:t>
      </w:r>
      <w:r>
        <w:rPr>
          <w:rFonts w:hint="default" w:ascii="Times New Roman" w:hAnsi="Times New Roman" w:eastAsia="sans-serif" w:cs="Times New Roman"/>
          <w:b/>
          <w:bCs/>
          <w:color w:val="000000"/>
          <w:kern w:val="0"/>
          <w:sz w:val="24"/>
          <w:szCs w:val="24"/>
          <w:lang w:val="en-US" w:eastAsia="zh-CN" w:bidi="ar"/>
        </w:rPr>
        <w:t xml:space="preserve">$11,642,069 </w:t>
      </w:r>
      <w:r>
        <w:rPr>
          <w:rFonts w:hint="default" w:ascii="Times New Roman" w:hAnsi="Times New Roman" w:eastAsia="sans-serif" w:cs="Times New Roman"/>
          <w:color w:val="000000"/>
          <w:kern w:val="0"/>
          <w:sz w:val="24"/>
          <w:szCs w:val="24"/>
          <w:lang w:val="en-US" w:eastAsia="zh-CN" w:bidi="ar"/>
        </w:rPr>
        <w:t xml:space="preserve">in public funds to acquire land that the Collier County Property Appraiser values at just </w:t>
      </w:r>
      <w:r>
        <w:rPr>
          <w:rFonts w:hint="default" w:ascii="Times New Roman" w:hAnsi="Times New Roman" w:eastAsia="sans-serif" w:cs="Times New Roman"/>
          <w:b/>
          <w:bCs/>
          <w:color w:val="000000"/>
          <w:kern w:val="0"/>
          <w:sz w:val="24"/>
          <w:szCs w:val="24"/>
          <w:lang w:val="en-US" w:eastAsia="zh-CN" w:bidi="ar"/>
        </w:rPr>
        <w:t xml:space="preserve">$104,688 </w:t>
      </w:r>
      <w:r>
        <w:rPr>
          <w:rFonts w:hint="default" w:ascii="Times New Roman" w:hAnsi="Times New Roman" w:eastAsia="sans-serif" w:cs="Times New Roman"/>
          <w:color w:val="000000"/>
          <w:kern w:val="0"/>
          <w:sz w:val="24"/>
          <w:szCs w:val="24"/>
          <w:lang w:val="en-US" w:eastAsia="zh-CN" w:bidi="ar"/>
        </w:rPr>
        <w:t>— an 11,000% overpayment. Taxpayers inherit full environmental liability for a century of industrial contamination while lucrative private revenue streams (utility easements and cell towers) remain with the Seminole Gulf Rail Road.</w:t>
      </w:r>
    </w:p>
    <w:p w14:paraId="34E7C54D">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6EE8FE22">
      <w:pPr>
        <w:keepNext w:val="0"/>
        <w:keepLines w:val="0"/>
        <w:widowControl/>
        <w:suppressLineNumbers w:val="0"/>
        <w:bidi w:val="0"/>
        <w:jc w:val="left"/>
        <w:textAlignment w:val="center"/>
        <w:rPr>
          <w:rFonts w:hint="default" w:ascii="Times New Roman" w:hAnsi="Times New Roman" w:eastAsia="sans-serif" w:cs="Times New Roman"/>
          <w:vanish/>
          <w:color w:val="000000"/>
        </w:rPr>
      </w:pPr>
      <w:r>
        <w:rPr>
          <w:rFonts w:hint="default" w:ascii="Times New Roman" w:hAnsi="Times New Roman" w:eastAsia="sans-serif" w:cs="Times New Roman"/>
          <w:vanish/>
          <w:color w:val="000000"/>
          <w:kern w:val="0"/>
          <w:sz w:val="24"/>
          <w:szCs w:val="24"/>
          <w:lang w:val="en-US" w:eastAsia="zh-CN" w:bidi="ar"/>
        </w:rPr>
        <w:t>tpl.org</w:t>
      </w:r>
    </w:p>
    <w:p w14:paraId="53D085EE">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color w:val="000000"/>
          <w:kern w:val="0"/>
          <w:sz w:val="24"/>
          <w:szCs w:val="24"/>
          <w:lang w:val="en-US" w:eastAsia="zh-CN" w:bidi="ar"/>
        </w:rPr>
        <w:t xml:space="preserve">“This is corporate welfare at its worst,” said </w:t>
      </w:r>
      <w:r>
        <w:rPr>
          <w:rFonts w:hint="default" w:ascii="Times New Roman" w:hAnsi="Times New Roman" w:eastAsia="sans-serif" w:cs="Times New Roman"/>
          <w:b/>
          <w:bCs/>
          <w:color w:val="000000"/>
          <w:kern w:val="0"/>
          <w:sz w:val="24"/>
          <w:szCs w:val="24"/>
          <w:lang w:val="en-US" w:eastAsia="zh-CN" w:bidi="ar"/>
        </w:rPr>
        <w:t>Dave Jaye</w:t>
      </w:r>
      <w:r>
        <w:rPr>
          <w:rFonts w:hint="default" w:ascii="Times New Roman" w:hAnsi="Times New Roman" w:eastAsia="sans-serif" w:cs="Times New Roman"/>
          <w:color w:val="000000"/>
          <w:kern w:val="0"/>
          <w:sz w:val="24"/>
          <w:szCs w:val="24"/>
          <w:lang w:val="en-US" w:eastAsia="zh-CN" w:bidi="ar"/>
        </w:rPr>
        <w:t>, Chairman of USATaxFighters.org. “Collier taxpayers are already choking on traffic congestion, yet commissioners are rushing to spend $11.6 million buying polluted railroad dirt plus an estimated $10.3 million more for track removal, hazardous waste cleanup, paving, and a massive pedestrian overpass. Roads and bridges fix real problems. This is nothing but corporate welfare dressed up as recreation.”</w:t>
      </w:r>
    </w:p>
    <w:p w14:paraId="63A4D115">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1F00BBB8">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color w:val="000000"/>
          <w:kern w:val="0"/>
          <w:sz w:val="24"/>
          <w:szCs w:val="24"/>
          <w:lang w:val="en-US" w:eastAsia="zh-CN" w:bidi="ar"/>
        </w:rPr>
        <w:t xml:space="preserve">Lee County’s fiscally conservative stance stands in stark contrast. Lee County leadership has refused to spend countywide taxpayer dollars on contaminated rail tracks, instead prioritizing road widening and congestion relief. Cecil </w:t>
      </w:r>
      <w:r>
        <w:rPr>
          <w:rFonts w:hint="default" w:ascii="Times New Roman" w:hAnsi="Times New Roman" w:eastAsia="sans-serif" w:cs="Times New Roman"/>
          <w:color w:val="1F1F1F"/>
          <w:sz w:val="24"/>
          <w:szCs w:val="24"/>
          <w:lang w:val="en-US"/>
        </w:rPr>
        <w:t>P</w:t>
      </w:r>
      <w:r>
        <w:rPr>
          <w:rFonts w:hint="default" w:ascii="Times New Roman" w:hAnsi="Times New Roman" w:eastAsia="sans-serif" w:cs="Times New Roman"/>
          <w:color w:val="1F1F1F"/>
          <w:sz w:val="24"/>
          <w:szCs w:val="24"/>
        </w:rPr>
        <w:t>endergrass</w:t>
      </w:r>
      <w:r>
        <w:rPr>
          <w:rFonts w:hint="default" w:ascii="Times New Roman" w:hAnsi="Times New Roman" w:eastAsia="sans-serif" w:cs="Times New Roman"/>
          <w:color w:val="1F1F1F"/>
          <w:sz w:val="24"/>
          <w:szCs w:val="24"/>
          <w:lang w:val="en-US"/>
        </w:rPr>
        <w:t xml:space="preserve">, </w:t>
      </w:r>
      <w:r>
        <w:rPr>
          <w:rFonts w:hint="default" w:ascii="Times New Roman" w:hAnsi="Times New Roman" w:eastAsia="sans-serif" w:cs="Times New Roman"/>
          <w:color w:val="1F1F1F"/>
          <w:sz w:val="24"/>
          <w:szCs w:val="24"/>
        </w:rPr>
        <w:t>Chairman</w:t>
      </w:r>
      <w:r>
        <w:rPr>
          <w:rFonts w:hint="default" w:ascii="Times New Roman" w:hAnsi="Times New Roman" w:eastAsia="sans-serif" w:cs="Times New Roman"/>
          <w:color w:val="1F1F1F"/>
          <w:sz w:val="24"/>
          <w:szCs w:val="24"/>
          <w:lang w:val="en-US"/>
        </w:rPr>
        <w:t xml:space="preserve"> </w:t>
      </w:r>
      <w:r>
        <w:rPr>
          <w:rFonts w:hint="default" w:ascii="Times New Roman" w:hAnsi="Times New Roman" w:eastAsia="sans-serif" w:cs="Times New Roman"/>
          <w:color w:val="1F1F1F"/>
          <w:sz w:val="24"/>
          <w:szCs w:val="24"/>
        </w:rPr>
        <w:t xml:space="preserve">Lee County Board of County </w:t>
      </w:r>
      <w:r>
        <w:rPr>
          <w:rFonts w:hint="default" w:ascii="Times New Roman" w:hAnsi="Times New Roman" w:eastAsia="sans-serif" w:cs="Times New Roman"/>
          <w:color w:val="1F1F1F"/>
          <w:sz w:val="24"/>
          <w:szCs w:val="24"/>
          <w:lang w:val="en-US"/>
        </w:rPr>
        <w:t>Commissioners,</w:t>
      </w:r>
      <w:r>
        <w:rPr>
          <w:rFonts w:hint="default" w:ascii="Times New Roman" w:hAnsi="Times New Roman" w:eastAsia="sans-serif" w:cs="Times New Roman"/>
          <w:color w:val="000000"/>
          <w:kern w:val="0"/>
          <w:sz w:val="24"/>
          <w:szCs w:val="24"/>
          <w:lang w:val="en-US" w:eastAsia="zh-CN" w:bidi="ar"/>
        </w:rPr>
        <w:t xml:space="preserve"> stated: “We are building roads before we build paths on land that should be used for high-speed trains, etc.”</w:t>
      </w:r>
    </w:p>
    <w:p w14:paraId="2088E68B">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60CA1F9E">
      <w:pPr>
        <w:keepNext w:val="0"/>
        <w:keepLines w:val="0"/>
        <w:widowControl/>
        <w:suppressLineNumbers w:val="0"/>
        <w:jc w:val="left"/>
        <w:rPr>
          <w:rFonts w:hint="default" w:ascii="Times New Roman" w:hAnsi="Times New Roman" w:eastAsia="sans-serif" w:cs="Times New Roman"/>
          <w:b/>
          <w:bCs/>
          <w:color w:val="000000"/>
          <w:kern w:val="0"/>
          <w:sz w:val="28"/>
          <w:szCs w:val="28"/>
          <w:lang w:val="en-US" w:eastAsia="zh-CN" w:bidi="ar"/>
        </w:rPr>
      </w:pPr>
      <w:r>
        <w:rPr>
          <w:rFonts w:hint="default" w:ascii="Times New Roman" w:hAnsi="Times New Roman" w:eastAsia="sans-serif" w:cs="Times New Roman"/>
          <w:b/>
          <w:bCs/>
          <w:color w:val="000000"/>
          <w:kern w:val="0"/>
          <w:sz w:val="28"/>
          <w:szCs w:val="28"/>
          <w:lang w:val="en-US" w:eastAsia="zh-CN" w:bidi="ar"/>
        </w:rPr>
        <w:t>The Four Hidden Fiscal Traps in the Agreement:</w:t>
      </w:r>
    </w:p>
    <w:p w14:paraId="2BCCA5E5">
      <w:pPr>
        <w:keepNext w:val="0"/>
        <w:keepLines w:val="0"/>
        <w:widowControl/>
        <w:suppressLineNumbers w:val="0"/>
        <w:jc w:val="left"/>
        <w:rPr>
          <w:rFonts w:hint="default" w:ascii="Times New Roman" w:hAnsi="Times New Roman" w:eastAsia="sans-serif" w:cs="Times New Roman"/>
          <w:b/>
          <w:bCs/>
          <w:color w:val="000000"/>
          <w:kern w:val="0"/>
          <w:sz w:val="28"/>
          <w:szCs w:val="28"/>
          <w:lang w:val="en-US" w:eastAsia="zh-CN" w:bidi="ar"/>
        </w:rPr>
      </w:pPr>
    </w:p>
    <w:p w14:paraId="0EF7771F">
      <w:pPr>
        <w:keepNext w:val="0"/>
        <w:keepLines w:val="0"/>
        <w:widowControl/>
        <w:numPr>
          <w:ilvl w:val="0"/>
          <w:numId w:val="11"/>
        </w:numPr>
        <w:suppressLineNumbers w:val="0"/>
        <w:spacing w:before="0" w:beforeAutospacing="0" w:after="0" w:afterAutospacing="1"/>
        <w:ind w:left="720" w:hanging="360"/>
        <w:rPr>
          <w:rFonts w:hint="default" w:ascii="Times New Roman" w:hAnsi="Times New Roman" w:eastAsia="sans-serif" w:cs="Times New Roman"/>
          <w:color w:val="000000"/>
          <w:sz w:val="24"/>
          <w:szCs w:val="24"/>
        </w:rPr>
      </w:pPr>
      <w:r>
        <w:rPr>
          <w:rFonts w:hint="default" w:ascii="Times New Roman" w:hAnsi="Times New Roman" w:eastAsia="sans-serif" w:cs="Times New Roman"/>
          <w:b/>
          <w:bCs/>
          <w:color w:val="000000"/>
          <w:sz w:val="24"/>
          <w:szCs w:val="24"/>
        </w:rPr>
        <w:t>111x Assessment Overpayment</w:t>
      </w:r>
      <w:r>
        <w:rPr>
          <w:rFonts w:hint="default" w:ascii="Times New Roman" w:hAnsi="Times New Roman" w:eastAsia="sans-serif" w:cs="Times New Roman"/>
          <w:color w:val="000000"/>
          <w:sz w:val="24"/>
          <w:szCs w:val="24"/>
        </w:rPr>
        <w:t xml:space="preserve"> — Taxpayers pay $11.64 million for property assessed at $104,688 that generates only $773.54 in annual taxes.</w:t>
      </w:r>
    </w:p>
    <w:p w14:paraId="30967EE1">
      <w:pPr>
        <w:keepNext w:val="0"/>
        <w:keepLines w:val="0"/>
        <w:widowControl/>
        <w:numPr>
          <w:ilvl w:val="0"/>
          <w:numId w:val="11"/>
        </w:numPr>
        <w:suppressLineNumbers w:val="0"/>
        <w:spacing w:before="0" w:beforeAutospacing="0" w:after="0" w:afterAutospacing="1"/>
        <w:ind w:left="720" w:hanging="360"/>
        <w:rPr>
          <w:rFonts w:hint="default" w:ascii="Times New Roman" w:hAnsi="Times New Roman" w:eastAsia="sans-serif" w:cs="Times New Roman"/>
          <w:color w:val="000000"/>
          <w:sz w:val="24"/>
          <w:szCs w:val="24"/>
        </w:rPr>
      </w:pPr>
      <w:r>
        <w:rPr>
          <w:rFonts w:hint="default" w:ascii="Times New Roman" w:hAnsi="Times New Roman" w:eastAsia="sans-serif" w:cs="Times New Roman"/>
          <w:b/>
          <w:bCs/>
          <w:color w:val="000000"/>
          <w:sz w:val="24"/>
          <w:szCs w:val="24"/>
        </w:rPr>
        <w:t>“As-Is” Environmental Liability Transfer</w:t>
      </w:r>
      <w:r>
        <w:rPr>
          <w:rFonts w:hint="default" w:ascii="Times New Roman" w:hAnsi="Times New Roman" w:eastAsia="sans-serif" w:cs="Times New Roman"/>
          <w:color w:val="000000"/>
          <w:sz w:val="24"/>
          <w:szCs w:val="24"/>
        </w:rPr>
        <w:t xml:space="preserve"> — Section 5 of the contract forces the county to accept the land “AS IS, WHERE IS, AND WITH ALL FAULTS.” Historic rail corridors are typically contaminated with arsenic, PAHs, heavy metals, and creosote. Taxpayers bear 100% of the open-ended cleanup costs. </w:t>
      </w:r>
    </w:p>
    <w:p w14:paraId="6B0928B3">
      <w:pPr>
        <w:keepNext w:val="0"/>
        <w:keepLines w:val="0"/>
        <w:widowControl/>
        <w:numPr>
          <w:ilvl w:val="0"/>
          <w:numId w:val="11"/>
        </w:numPr>
        <w:suppressLineNumbers w:val="0"/>
        <w:spacing w:before="0" w:beforeAutospacing="0" w:after="0" w:afterAutospacing="1"/>
        <w:ind w:left="720" w:hanging="360"/>
        <w:rPr>
          <w:rFonts w:hint="default" w:ascii="Times New Roman" w:hAnsi="Times New Roman" w:eastAsia="sans-serif" w:cs="Times New Roman"/>
          <w:color w:val="000000"/>
          <w:sz w:val="24"/>
          <w:szCs w:val="24"/>
        </w:rPr>
      </w:pPr>
      <w:r>
        <w:rPr>
          <w:rFonts w:hint="default" w:ascii="Times New Roman" w:hAnsi="Times New Roman" w:eastAsia="sans-serif" w:cs="Times New Roman"/>
          <w:b/>
          <w:bCs/>
          <w:color w:val="000000"/>
          <w:sz w:val="24"/>
          <w:szCs w:val="24"/>
          <w:lang w:val="en-US"/>
        </w:rPr>
        <w:t xml:space="preserve">Rail Road Keeps </w:t>
      </w:r>
      <w:r>
        <w:rPr>
          <w:rFonts w:hint="default" w:ascii="Times New Roman" w:hAnsi="Times New Roman" w:eastAsia="sans-serif" w:cs="Times New Roman"/>
          <w:b/>
          <w:bCs/>
          <w:color w:val="000000"/>
          <w:sz w:val="24"/>
          <w:szCs w:val="24"/>
        </w:rPr>
        <w:t>Revenue Streams</w:t>
      </w:r>
      <w:r>
        <w:rPr>
          <w:rFonts w:hint="default" w:ascii="Times New Roman" w:hAnsi="Times New Roman" w:eastAsia="sans-serif" w:cs="Times New Roman"/>
          <w:color w:val="000000"/>
          <w:sz w:val="24"/>
          <w:szCs w:val="24"/>
        </w:rPr>
        <w:t xml:space="preserve"> — Section 10 preserves all existing utility licenses, sewer agreements, and commercial cell tower leases. These ongoing revenues do not offset the purchase price.</w:t>
      </w:r>
      <w:r>
        <w:rPr>
          <w:rFonts w:hint="default" w:ascii="Times New Roman" w:hAnsi="Times New Roman" w:eastAsia="sans-serif" w:cs="Times New Roman"/>
          <w:color w:val="000000"/>
          <w:sz w:val="24"/>
          <w:szCs w:val="24"/>
          <w:lang w:val="en-US"/>
        </w:rPr>
        <w:t xml:space="preserve"> “The Rail Road gets the meat and the taxpayers get the bone, just like the one sided deals that the City of Bonita Springs and Village of Estero”, noted Dave Jaye.</w:t>
      </w:r>
    </w:p>
    <w:p w14:paraId="284A4964">
      <w:pPr>
        <w:keepNext w:val="0"/>
        <w:keepLines w:val="0"/>
        <w:widowControl/>
        <w:numPr>
          <w:ilvl w:val="0"/>
          <w:numId w:val="11"/>
        </w:numPr>
        <w:suppressLineNumbers w:val="0"/>
        <w:spacing w:before="105" w:beforeAutospacing="0" w:after="0" w:afterAutospacing="1"/>
        <w:ind w:left="720" w:hanging="360"/>
        <w:rPr>
          <w:rFonts w:hint="default" w:ascii="Times New Roman" w:hAnsi="Times New Roman" w:eastAsia="sans-serif" w:cs="Times New Roman"/>
          <w:color w:val="000000"/>
          <w:sz w:val="24"/>
          <w:szCs w:val="24"/>
        </w:rPr>
      </w:pPr>
      <w:r>
        <w:rPr>
          <w:rFonts w:hint="default" w:ascii="Times New Roman" w:hAnsi="Times New Roman" w:eastAsia="sans-serif" w:cs="Times New Roman"/>
          <w:b/>
          <w:bCs/>
          <w:color w:val="000000"/>
          <w:sz w:val="24"/>
          <w:szCs w:val="24"/>
        </w:rPr>
        <w:t xml:space="preserve">The Reactivation Trap </w:t>
      </w:r>
      <w:r>
        <w:rPr>
          <w:rFonts w:hint="default" w:ascii="Times New Roman" w:hAnsi="Times New Roman" w:eastAsia="sans-serif" w:cs="Times New Roman"/>
          <w:color w:val="000000"/>
          <w:sz w:val="24"/>
          <w:szCs w:val="24"/>
        </w:rPr>
        <w:t>— Section 20 grants the Seminole Gulf Railway permanent federal rights to reactivate service. If triggered, the county must hand the land and all trail improvements back — reimbursed only at depreciated value.</w:t>
      </w:r>
    </w:p>
    <w:p w14:paraId="5113726C">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b/>
          <w:bCs/>
          <w:color w:val="000000"/>
          <w:kern w:val="0"/>
          <w:sz w:val="24"/>
          <w:szCs w:val="24"/>
          <w:lang w:val="en-US" w:eastAsia="zh-CN" w:bidi="ar"/>
        </w:rPr>
        <w:t xml:space="preserve">Phase 2 Hidden Costs: </w:t>
      </w:r>
      <w:r>
        <w:rPr>
          <w:rFonts w:hint="default" w:ascii="Times New Roman" w:hAnsi="Times New Roman" w:eastAsia="sans-serif" w:cs="Times New Roman"/>
          <w:color w:val="000000"/>
          <w:kern w:val="0"/>
          <w:sz w:val="24"/>
          <w:szCs w:val="24"/>
          <w:lang w:val="en-US" w:eastAsia="zh-CN" w:bidi="ar"/>
        </w:rPr>
        <w:t>The $11.64 million purchase price excludes an estimated $10.38 million in additional capital costs for track removal, soil remediation, engineering, asphalt paving, a multi-million-dollar pedestrian overpass over Old 41 and the planned Veterans Parkeway Expansion, parking facilities, and safety upgrades at multiple crossings.</w:t>
      </w:r>
    </w:p>
    <w:p w14:paraId="53CCDCB0">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526294D2">
      <w:pPr>
        <w:keepNext w:val="0"/>
        <w:keepLines w:val="0"/>
        <w:widowControl/>
        <w:suppressLineNumbers w:val="0"/>
        <w:jc w:val="left"/>
        <w:rPr>
          <w:rFonts w:hint="default" w:ascii="Times New Roman" w:hAnsi="Times New Roman" w:eastAsia="sans-serif" w:cs="Times New Roman"/>
          <w:b/>
          <w:bCs/>
          <w:color w:val="000000"/>
          <w:kern w:val="0"/>
          <w:sz w:val="24"/>
          <w:szCs w:val="24"/>
          <w:lang w:val="en-US" w:eastAsia="zh-CN" w:bidi="ar"/>
        </w:rPr>
      </w:pPr>
      <w:r>
        <w:rPr>
          <w:rFonts w:hint="default" w:ascii="Times New Roman" w:hAnsi="Times New Roman" w:eastAsia="sans-serif" w:cs="Times New Roman"/>
          <w:b/>
          <w:bCs/>
          <w:color w:val="000000"/>
          <w:kern w:val="0"/>
          <w:sz w:val="24"/>
          <w:szCs w:val="24"/>
          <w:lang w:val="en-US" w:eastAsia="zh-CN" w:bidi="ar"/>
        </w:rPr>
        <w:t>THE CLOCK IS TICKING</w:t>
      </w:r>
    </w:p>
    <w:p w14:paraId="3D91437F">
      <w:pPr>
        <w:pStyle w:val="8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4" w:lineRule="atLeast"/>
        <w:ind w:left="0" w:right="0"/>
        <w:rPr>
          <w:rFonts w:hint="default" w:ascii="Times New Roman" w:hAnsi="Times New Roman" w:eastAsia="sans-serif" w:cs="Times New Roman"/>
          <w:color w:val="000000"/>
          <w:kern w:val="0"/>
          <w:sz w:val="24"/>
          <w:szCs w:val="24"/>
          <w:lang w:val="en-US" w:eastAsia="zh-CN" w:bidi="ar"/>
        </w:rPr>
      </w:pPr>
      <w:r>
        <w:rPr>
          <w:rFonts w:hint="default" w:ascii="Times New Roman" w:hAnsi="Times New Roman" w:eastAsia="sans-serif" w:cs="Times New Roman"/>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 xml:space="preserve">Section 6 provides a 90-day inspection period ending July 13, 2026. Commissioners still have time to terminate the agreement without penalty and protect taxpayers from these liabilities. Taxpayers are urged to immediately contact the Collier County Board of County Commissioners and demand rejection of this deal in its current form.  </w:t>
      </w:r>
    </w:p>
    <w:p w14:paraId="3B0E0FA4">
      <w:pPr>
        <w:pStyle w:val="8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4" w:lineRule="atLeast"/>
        <w:ind w:left="0" w:right="0"/>
        <w:rPr>
          <w:rFonts w:hint="default" w:ascii="Times New Roman" w:hAnsi="Times New Roman" w:eastAsia="sans-serif" w:cs="Times New Roman"/>
          <w:color w:val="000000"/>
          <w:kern w:val="0"/>
          <w:sz w:val="24"/>
          <w:szCs w:val="24"/>
          <w:lang w:val="en-US" w:eastAsia="zh-CN" w:bidi="ar"/>
        </w:rPr>
      </w:pPr>
    </w:p>
    <w:p w14:paraId="046E252D">
      <w:pPr>
        <w:pStyle w:val="85"/>
        <w:keepNext w:val="0"/>
        <w:keepLines w:val="0"/>
        <w:widowControl/>
        <w:suppressLineNumbers w:val="0"/>
        <w:pBdr>
          <w:top w:val="none" w:color="1F1F1F" w:sz="0" w:space="0"/>
          <w:left w:val="none" w:color="1F1F1F" w:sz="0" w:space="0"/>
          <w:bottom w:val="none" w:color="1F1F1F" w:sz="0" w:space="0"/>
          <w:right w:val="none" w:color="1F1F1F" w:sz="0" w:space="0"/>
        </w:pBdr>
        <w:bidi w:val="0"/>
        <w:spacing w:before="0" w:beforeAutospacing="0" w:after="0" w:afterAutospacing="0" w:line="14" w:lineRule="atLeast"/>
        <w:ind w:left="0" w:right="0"/>
        <w:rPr>
          <w:rFonts w:hint="default" w:ascii="Times New Roman" w:hAnsi="Times New Roman" w:eastAsia="sans-serif" w:cs="Times New Roman"/>
          <w:color w:val="1F1F1F"/>
          <w:sz w:val="24"/>
          <w:szCs w:val="24"/>
        </w:rPr>
      </w:pPr>
      <w:r>
        <w:rPr>
          <w:rFonts w:hint="default" w:ascii="Times New Roman" w:hAnsi="Times New Roman" w:eastAsia="sans-serif" w:cs="Times New Roman"/>
          <w:color w:val="000000"/>
          <w:kern w:val="0"/>
          <w:sz w:val="24"/>
          <w:szCs w:val="24"/>
          <w:lang w:val="en-US" w:eastAsia="zh-CN" w:bidi="ar"/>
        </w:rPr>
        <w:t>“</w:t>
      </w:r>
      <w:r>
        <w:rPr>
          <w:rFonts w:hint="default" w:ascii="Times New Roman" w:hAnsi="Times New Roman" w:eastAsia="sans-serif" w:cs="Times New Roman"/>
          <w:color w:val="1F1F1F"/>
          <w:sz w:val="24"/>
          <w:szCs w:val="24"/>
        </w:rPr>
        <w:t xml:space="preserve">With </w:t>
      </w:r>
      <w:r>
        <w:rPr>
          <w:rFonts w:hint="default" w:ascii="Times New Roman" w:hAnsi="Times New Roman" w:eastAsia="sans-serif" w:cs="Times New Roman"/>
          <w:color w:val="1F1F1F"/>
          <w:sz w:val="24"/>
          <w:szCs w:val="24"/>
          <w:lang w:val="en-US"/>
        </w:rPr>
        <w:t xml:space="preserve">a </w:t>
      </w:r>
      <w:r>
        <w:rPr>
          <w:rFonts w:hint="default" w:ascii="Times New Roman" w:hAnsi="Times New Roman" w:eastAsia="sans-serif" w:cs="Times New Roman"/>
          <w:color w:val="1F1F1F"/>
          <w:sz w:val="24"/>
          <w:szCs w:val="24"/>
        </w:rPr>
        <w:t>significant property tax cut proposal on the ballot this November</w:t>
      </w:r>
      <w:r>
        <w:rPr>
          <w:rFonts w:hint="default" w:ascii="Times New Roman" w:hAnsi="Times New Roman" w:eastAsia="sans-serif" w:cs="Times New Roman"/>
          <w:color w:val="1F1F1F"/>
          <w:sz w:val="24"/>
          <w:szCs w:val="24"/>
          <w:lang w:val="en-US"/>
        </w:rPr>
        <w:t xml:space="preserve"> 3, 2026 </w:t>
      </w:r>
      <w:r>
        <w:rPr>
          <w:rFonts w:hint="default" w:ascii="Times New Roman" w:hAnsi="Times New Roman" w:eastAsia="sans-serif" w:cs="Times New Roman"/>
          <w:color w:val="1F1F1F"/>
          <w:sz w:val="24"/>
          <w:szCs w:val="24"/>
        </w:rPr>
        <w:t xml:space="preserve">likely to slash county revenues, the Board should be safeguarding essential funds and prioritizing real public road construction, not funding a frivolous bike trail that the railroad can legally reactivate and take back </w:t>
      </w:r>
      <w:r>
        <w:rPr>
          <w:rFonts w:hint="default" w:ascii="Times New Roman" w:hAnsi="Times New Roman" w:eastAsia="sans-serif" w:cs="Times New Roman"/>
          <w:color w:val="1F1F1F"/>
          <w:sz w:val="24"/>
          <w:szCs w:val="24"/>
          <w:lang w:val="en-US"/>
        </w:rPr>
        <w:t>anyway.”</w:t>
      </w:r>
      <w:r>
        <w:rPr>
          <w:rFonts w:hint="default" w:ascii="Times New Roman" w:hAnsi="Times New Roman" w:eastAsia="sans-serif" w:cs="Times New Roman"/>
          <w:color w:val="1F1F1F"/>
          <w:sz w:val="24"/>
          <w:szCs w:val="24"/>
        </w:rPr>
        <w:t xml:space="preserve"> If this project is so worthwhile, it should have been put to a vote of the </w:t>
      </w:r>
      <w:r>
        <w:rPr>
          <w:rFonts w:hint="default" w:ascii="Times New Roman" w:hAnsi="Times New Roman" w:eastAsia="sans-serif" w:cs="Times New Roman"/>
          <w:color w:val="1F1F1F"/>
          <w:sz w:val="24"/>
          <w:szCs w:val="24"/>
          <w:lang w:val="en-US"/>
        </w:rPr>
        <w:t xml:space="preserve">people,” concluded Dave Jaye.  </w:t>
      </w:r>
    </w:p>
    <w:p w14:paraId="7FFB711A">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4C4CC48C">
      <w:pPr>
        <w:keepNext w:val="0"/>
        <w:keepLines w:val="0"/>
        <w:widowControl/>
        <w:suppressLineNumbers w:val="0"/>
        <w:jc w:val="left"/>
        <w:rPr>
          <w:rFonts w:hint="default" w:ascii="Times New Roman" w:hAnsi="Times New Roman" w:eastAsia="sans-serif" w:cs="Times New Roman"/>
          <w:color w:val="000000"/>
          <w:kern w:val="0"/>
          <w:sz w:val="24"/>
          <w:szCs w:val="24"/>
          <w:lang w:val="en-US" w:eastAsia="zh-CN" w:bidi="ar"/>
        </w:rPr>
      </w:pPr>
    </w:p>
    <w:p w14:paraId="463AD2D7">
      <w:pPr>
        <w:keepNext w:val="0"/>
        <w:keepLines w:val="0"/>
        <w:widowControl/>
        <w:suppressLineNumbers w:val="0"/>
        <w:jc w:val="left"/>
        <w:rPr>
          <w:rFonts w:hint="default" w:ascii="Times New Roman" w:hAnsi="Times New Roman" w:cs="Times New Roman"/>
        </w:rPr>
      </w:pPr>
      <w:r>
        <w:rPr>
          <w:rFonts w:hint="default" w:ascii="Times New Roman" w:hAnsi="Times New Roman" w:eastAsia="sans-serif" w:cs="Times New Roman"/>
          <w:b/>
          <w:bCs/>
          <w:color w:val="000000"/>
          <w:kern w:val="0"/>
          <w:sz w:val="24"/>
          <w:szCs w:val="24"/>
          <w:lang w:val="en-US" w:eastAsia="zh-CN" w:bidi="ar"/>
        </w:rPr>
        <w:t>Media &amp; Watchdog Contact:</w:t>
      </w:r>
      <w:r>
        <w:rPr>
          <w:rFonts w:hint="default" w:ascii="Times New Roman" w:hAnsi="Times New Roman" w:eastAsia="sans-serif" w:cs="Times New Roman"/>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Dave Jaye, Chairman</w:t>
      </w:r>
      <w:r>
        <w:rPr>
          <w:rFonts w:hint="default" w:ascii="Times New Roman" w:hAnsi="Times New Roman" w:eastAsia="sans-serif" w:cs="Times New Roman"/>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USATaxFighters.org</w:t>
      </w:r>
      <w:r>
        <w:rPr>
          <w:rFonts w:hint="default" w:ascii="Times New Roman" w:hAnsi="Times New Roman" w:eastAsia="sans-serif" w:cs="Times New Roman"/>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Phone: 586-488-5177</w:t>
      </w:r>
      <w:r>
        <w:rPr>
          <w:rFonts w:hint="default" w:ascii="Times New Roman" w:hAnsi="Times New Roman" w:eastAsia="sans-serif" w:cs="Times New Roman"/>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 xml:space="preserve">Email: </w:t>
      </w:r>
      <w:r>
        <w:rPr>
          <w:rFonts w:hint="default" w:ascii="Times New Roman" w:hAnsi="Times New Roman" w:eastAsia="sans-serif" w:cs="Times New Roman"/>
          <w:color w:val="000000"/>
          <w:kern w:val="0"/>
          <w:sz w:val="24"/>
          <w:szCs w:val="24"/>
          <w:lang w:val="en-US" w:eastAsia="zh-CN" w:bidi="ar"/>
        </w:rPr>
        <w:fldChar w:fldCharType="begin"/>
      </w:r>
      <w:r>
        <w:rPr>
          <w:rFonts w:hint="default" w:ascii="Times New Roman" w:hAnsi="Times New Roman" w:eastAsia="sans-serif" w:cs="Times New Roman"/>
          <w:color w:val="000000"/>
          <w:kern w:val="0"/>
          <w:sz w:val="24"/>
          <w:szCs w:val="24"/>
          <w:lang w:val="en-US" w:eastAsia="zh-CN" w:bidi="ar"/>
        </w:rPr>
        <w:instrText xml:space="preserve"> HYPERLINK "mailto:dave.jaye55@gmail.com" </w:instrText>
      </w:r>
      <w:r>
        <w:rPr>
          <w:rFonts w:hint="default" w:ascii="Times New Roman" w:hAnsi="Times New Roman" w:eastAsia="sans-serif" w:cs="Times New Roman"/>
          <w:color w:val="000000"/>
          <w:kern w:val="0"/>
          <w:sz w:val="24"/>
          <w:szCs w:val="24"/>
          <w:lang w:val="en-US" w:eastAsia="zh-CN" w:bidi="ar"/>
        </w:rPr>
        <w:fldChar w:fldCharType="separate"/>
      </w:r>
      <w:r>
        <w:rPr>
          <w:rStyle w:val="51"/>
          <w:rFonts w:hint="default" w:ascii="Times New Roman" w:hAnsi="Times New Roman" w:eastAsia="sans-serif" w:cs="Times New Roman"/>
          <w:kern w:val="0"/>
          <w:sz w:val="24"/>
          <w:szCs w:val="24"/>
          <w:lang w:val="en-US" w:eastAsia="zh-CN" w:bidi="ar"/>
        </w:rPr>
        <w:t>dave.jaye55@gmail.com</w:t>
      </w:r>
      <w:r>
        <w:rPr>
          <w:rFonts w:hint="default" w:ascii="Times New Roman" w:hAnsi="Times New Roman" w:eastAsia="sans-serif" w:cs="Times New Roman"/>
          <w:color w:val="000000"/>
          <w:kern w:val="0"/>
          <w:sz w:val="24"/>
          <w:szCs w:val="24"/>
          <w:lang w:val="en-US" w:eastAsia="zh-CN" w:bidi="ar"/>
        </w:rPr>
        <w:fldChar w:fldCharType="end"/>
      </w:r>
      <w:r>
        <w:rPr>
          <w:rFonts w:hint="default" w:ascii="Times New Roman" w:hAnsi="Times New Roman" w:eastAsia="sans-serif" w:cs="Times New Roman"/>
          <w:color w:val="000000"/>
          <w:kern w:val="0"/>
          <w:sz w:val="24"/>
          <w:szCs w:val="24"/>
          <w:lang w:val="en-US" w:eastAsia="zh-CN" w:bidi="ar"/>
        </w:rPr>
        <w:t xml:space="preserve">  Source Documents &amp; Full Details: </w:t>
      </w:r>
      <w:r>
        <w:rPr>
          <w:rFonts w:hint="default" w:ascii="Times New Roman" w:hAnsi="Times New Roman" w:eastAsia="sans-serif" w:cs="Times New Roman"/>
          <w:color w:val="000000"/>
          <w:kern w:val="0"/>
          <w:sz w:val="24"/>
          <w:szCs w:val="24"/>
          <w:lang w:val="en-US" w:eastAsia="zh-CN" w:bidi="ar"/>
        </w:rPr>
        <w:fldChar w:fldCharType="begin"/>
      </w:r>
      <w:r>
        <w:rPr>
          <w:rFonts w:hint="default" w:ascii="Times New Roman" w:hAnsi="Times New Roman" w:eastAsia="sans-serif" w:cs="Times New Roman"/>
          <w:color w:val="000000"/>
          <w:kern w:val="0"/>
          <w:sz w:val="24"/>
          <w:szCs w:val="24"/>
          <w:lang w:val="en-US" w:eastAsia="zh-CN" w:bidi="ar"/>
        </w:rPr>
        <w:instrText xml:space="preserve"> HYPERLINK "https://usataxfighters.org" \t "_blank" </w:instrText>
      </w:r>
      <w:r>
        <w:rPr>
          <w:rFonts w:hint="default" w:ascii="Times New Roman" w:hAnsi="Times New Roman" w:eastAsia="sans-serif" w:cs="Times New Roman"/>
          <w:color w:val="000000"/>
          <w:kern w:val="0"/>
          <w:sz w:val="24"/>
          <w:szCs w:val="24"/>
          <w:lang w:val="en-US" w:eastAsia="zh-CN" w:bidi="ar"/>
        </w:rPr>
        <w:fldChar w:fldCharType="separate"/>
      </w:r>
      <w:r>
        <w:rPr>
          <w:rStyle w:val="51"/>
          <w:rFonts w:hint="default" w:ascii="Times New Roman" w:hAnsi="Times New Roman" w:eastAsia="sans-serif" w:cs="Times New Roman"/>
          <w:color w:val="000000"/>
          <w:sz w:val="24"/>
          <w:szCs w:val="24"/>
        </w:rPr>
        <w:t>usataxfighters.org</w:t>
      </w:r>
      <w:r>
        <w:rPr>
          <w:rFonts w:hint="default" w:ascii="Times New Roman" w:hAnsi="Times New Roman" w:eastAsia="sans-serif" w:cs="Times New Roman"/>
          <w:color w:val="000000"/>
          <w:kern w:val="0"/>
          <w:sz w:val="24"/>
          <w:szCs w:val="24"/>
          <w:lang w:val="en-US" w:eastAsia="zh-CN" w:bidi="ar"/>
        </w:rPr>
        <w:fldChar w:fldCharType="end"/>
      </w:r>
      <w:r>
        <w:rPr>
          <w:rFonts w:hint="default" w:ascii="Times New Roman" w:hAnsi="Times New Roman" w:eastAsia="sans-serif" w:cs="Times New Roman"/>
          <w:color w:val="000000"/>
          <w:kern w:val="0"/>
          <w:sz w:val="24"/>
          <w:szCs w:val="24"/>
          <w:lang w:val="en-US" w:eastAsia="zh-CN" w:bidi="ar"/>
        </w:rPr>
        <w:br w:type="textWrapping"/>
      </w:r>
      <w:r>
        <w:rPr>
          <w:rFonts w:hint="default" w:ascii="Times New Roman" w:hAnsi="Times New Roman" w:eastAsia="sans-serif" w:cs="Times New Roman"/>
          <w:color w:val="000000"/>
          <w:kern w:val="0"/>
          <w:sz w:val="24"/>
          <w:szCs w:val="24"/>
          <w:lang w:val="en-US" w:eastAsia="zh-CN" w:bidi="ar"/>
        </w:rPr>
        <w:t>Reference: Collier County Agenda Item 16.B.4 (April 14, 2026)</w:t>
      </w:r>
    </w:p>
    <w:p w14:paraId="1B5BC06F"/>
    <w:p w14:paraId="112765D6">
      <w:pPr>
        <w:rPr>
          <w:rFonts w:hint="default"/>
          <w:lang w:val="en-US"/>
        </w:rPr>
      </w:pPr>
      <w:r>
        <w:rPr>
          <w:rFonts w:hint="default"/>
          <w:lang w:val="en-US"/>
        </w:rPr>
        <w:drawing>
          <wp:inline distT="0" distB="0" distL="114300" distR="114300">
            <wp:extent cx="2239010" cy="1322070"/>
            <wp:effectExtent l="0" t="0" r="1270" b="3810"/>
            <wp:docPr id="1" name="Picture 1" descr="Lee County Taxpayers Association Business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e County Taxpayers Association Business Card"/>
                    <pic:cNvPicPr>
                      <a:picLocks noChangeAspect="1"/>
                    </pic:cNvPicPr>
                  </pic:nvPicPr>
                  <pic:blipFill>
                    <a:blip r:embed="rId4"/>
                    <a:stretch>
                      <a:fillRect/>
                    </a:stretch>
                  </pic:blipFill>
                  <pic:spPr>
                    <a:xfrm>
                      <a:off x="0" y="0"/>
                      <a:ext cx="2239010" cy="1322070"/>
                    </a:xfrm>
                    <a:prstGeom prst="rect">
                      <a:avLst/>
                    </a:prstGeom>
                  </pic:spPr>
                </pic:pic>
              </a:graphicData>
            </a:graphic>
          </wp:inline>
        </w:drawing>
      </w:r>
      <w:r>
        <w:rPr>
          <w:rFonts w:hint="default"/>
          <w:lang w:val="en-US"/>
        </w:rPr>
        <w:t xml:space="preserve">         </w:t>
      </w:r>
      <w:r>
        <w:rPr>
          <w:rFonts w:hint="default"/>
          <w:lang w:val="en-US"/>
        </w:rPr>
        <w:drawing>
          <wp:inline distT="0" distB="0" distL="114300" distR="114300">
            <wp:extent cx="1579880" cy="1579880"/>
            <wp:effectExtent l="0" t="0" r="5080" b="5080"/>
            <wp:docPr id="2" name="Picture 2" descr="usataxfighters L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ataxfighters LCTA"/>
                    <pic:cNvPicPr>
                      <a:picLocks noChangeAspect="1"/>
                    </pic:cNvPicPr>
                  </pic:nvPicPr>
                  <pic:blipFill>
                    <a:blip r:embed="rId5"/>
                    <a:stretch>
                      <a:fillRect/>
                    </a:stretch>
                  </pic:blipFill>
                  <pic:spPr>
                    <a:xfrm>
                      <a:off x="0" y="0"/>
                      <a:ext cx="1579880" cy="1579880"/>
                    </a:xfrm>
                    <a:prstGeom prst="rect">
                      <a:avLst/>
                    </a:prstGeom>
                  </pic:spPr>
                </pic:pic>
              </a:graphicData>
            </a:graphic>
          </wp:inline>
        </w:drawing>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2B44F2C8"/>
    <w:multiLevelType w:val="multilevel"/>
    <w:tmpl w:val="2B44F2C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A2A9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8B84D5E"/>
    <w:rsid w:val="08BE0440"/>
    <w:rsid w:val="127C66E3"/>
    <w:rsid w:val="2F4B7B98"/>
    <w:rsid w:val="4C5F23A0"/>
    <w:rsid w:val="5E515E4C"/>
    <w:rsid w:val="5FD849CF"/>
    <w:rsid w:val="60EA2A9F"/>
    <w:rsid w:val="659009AD"/>
    <w:rsid w:val="7042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8"/>
      <w:szCs w:val="36"/>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645</Words>
  <Characters>3667</Characters>
  <Lines>0</Lines>
  <Paragraphs>0</Paragraphs>
  <TotalTime>782</TotalTime>
  <ScaleCrop>false</ScaleCrop>
  <LinksUpToDate>false</LinksUpToDate>
  <CharactersWithSpaces>4304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2026-06-11T14:56:00Z</dcterms:created>
  <dc:creator>Dave Jaye</dc:creator>
  <cp:lastModifiedBy>Dave Jaye</cp:lastModifiedBy>
  <dcterms:modified xsi:type="dcterms:W3CDTF">2026-06-12T12:04:20Z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F4CE49BF24A24DD4BDBA7FB7F6B232B9_13</vt:lpwstr>
  </property>
  <property fmtid="{D5CDD505-2E9C-101B-9397-08002B2CF9AE}" pid="4" name="KSOTemplateDocerSaveRecord">
    <vt:lpwstr>eyJoZGlkIjoiMjZkOGRmNDliNzhiMTkwYmM3Mjg2ZmUwYzJiZjcyODYiLCJ1c2VySWQiOiIxNjY2NTE4MzMzMjUwIn0=</vt:lpwstr>
  </property>
</Properties>
</file>